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color w:val="000000"/>
          <w:shd w:fill="FFFFFF" w:val="clear"/>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 xml:space="preserve"> №  В212-6/2-___</w:t>
      </w:r>
    </w:p>
    <w:p>
      <w:pPr>
        <w:pStyle w:val="ConsNormal"/>
        <w:widowControl/>
        <w:ind w:right="0" w:hanging="0"/>
        <w:jc w:val="center"/>
        <w:rPr>
          <w:color w:val="000000"/>
          <w:shd w:fill="FFFFFF" w:val="clear"/>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color w:val="000000"/>
          <w:shd w:fill="FFFFFF" w:val="clear"/>
        </w:rPr>
      </w:pPr>
      <w:r>
        <w:rPr>
          <w:rFonts w:eastAsia="Times New Roman" w:cs="Times New Roman" w:ascii="Times New Roman" w:hAnsi="Times New Roman"/>
          <w:b/>
          <w:color w:val="000000"/>
          <w:sz w:val="22"/>
          <w:szCs w:val="22"/>
          <w:shd w:fill="FFFFFF" w:val="clear"/>
        </w:rPr>
        <w:t>г. Барнаул</w:t>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rPr>
        <w:t>«___» ________ 2026 г.</w:t>
      </w:r>
      <w:bookmarkEnd w:id="0"/>
      <w:r>
        <w:rPr>
          <w:rFonts w:eastAsia="Times New Roman" w:cs="Times New Roman" w:ascii="Times New Roman" w:hAnsi="Times New Roman"/>
          <w:b/>
          <w:color w:val="000000"/>
          <w:sz w:val="22"/>
          <w:szCs w:val="22"/>
          <w:shd w:fill="FFFFFF" w:val="clear"/>
        </w:rPr>
        <w:t xml:space="preserve"> </w:t>
      </w:r>
    </w:p>
    <w:p>
      <w:pPr>
        <w:pStyle w:val="ConsNormal"/>
        <w:widowControl/>
        <w:ind w:left="45" w:right="0" w:hanging="0"/>
        <w:jc w:val="center"/>
        <w:rPr>
          <w:rFonts w:ascii="Times New Roman" w:hAnsi="Times New Roman" w:eastAsia="Times New Roman" w:cs="Times New Roman"/>
          <w:b/>
          <w:b/>
          <w:color w:val="000000"/>
          <w:sz w:val="22"/>
          <w:szCs w:val="22"/>
          <w:shd w:fill="FFFFFF" w:val="clear"/>
        </w:rPr>
      </w:pPr>
      <w:r>
        <w:rPr>
          <w:rFonts w:eastAsia="Times New Roman" w:cs="Times New Roman" w:ascii="Times New Roman" w:hAnsi="Times New Roman"/>
          <w:b/>
          <w:color w:val="000000"/>
          <w:sz w:val="22"/>
          <w:szCs w:val="22"/>
          <w:shd w:fill="FFFFFF" w:val="clear"/>
        </w:rPr>
      </w:r>
    </w:p>
    <w:p>
      <w:pPr>
        <w:pStyle w:val="ConsNormal"/>
        <w:widowControl/>
        <w:ind w:left="45" w:right="0" w:hanging="0"/>
        <w:jc w:val="center"/>
        <w:rPr>
          <w:color w:val="000000"/>
          <w:shd w:fill="FFFFFF" w:val="clear"/>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«Сибирский Уют»</w:t>
      </w:r>
    </w:p>
    <w:p>
      <w:pPr>
        <w:pStyle w:val="Normal"/>
        <w:jc w:val="both"/>
        <w:rPr>
          <w:color w:val="000000"/>
          <w:shd w:fill="FFFFFF" w:val="clear"/>
        </w:rPr>
      </w:pPr>
      <w:r>
        <w:rPr>
          <w:color w:val="000000"/>
          <w:sz w:val="22"/>
          <w:szCs w:val="22"/>
          <w:shd w:fill="FFFFFF" w:val="clear"/>
        </w:rPr>
        <w:tab/>
        <w:tab/>
        <w:t>656037, г. Барнаул, пр. Калинина, влд. 112/27, офис 201</w:t>
      </w:r>
    </w:p>
    <w:p>
      <w:pPr>
        <w:pStyle w:val="Normal"/>
        <w:jc w:val="both"/>
        <w:rPr>
          <w:color w:val="000000"/>
          <w:shd w:fill="FFFFFF" w:val="clear"/>
        </w:rPr>
      </w:pPr>
      <w:r>
        <w:rPr>
          <w:color w:val="000000"/>
          <w:sz w:val="22"/>
          <w:szCs w:val="22"/>
          <w:shd w:fill="FFFFFF" w:val="clear"/>
        </w:rPr>
        <w:tab/>
        <w:tab/>
        <w:t xml:space="preserve">ОГРН 1232200018930, ИНН 2224214524, КПП 222401001 </w:t>
      </w:r>
    </w:p>
    <w:p>
      <w:pPr>
        <w:pStyle w:val="Normal"/>
        <w:ind w:firstLine="1474"/>
        <w:jc w:val="both"/>
        <w:rPr>
          <w:color w:val="000000"/>
          <w:shd w:fill="FFFFFF" w:val="clear"/>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1"/>
        <w:r>
          <w:rPr>
            <w:rFonts w:eastAsia="Arial"/>
            <w:color w:val="000000"/>
            <w:sz w:val="22"/>
            <w:szCs w:val="22"/>
            <w:shd w:fill="FFFFFF" w:val="clear"/>
            <w:lang w:val="en-US" w:eastAsia="ru-RU"/>
          </w:rPr>
          <w:t>ru</w:t>
        </w:r>
      </w:hyperlink>
    </w:p>
    <w:p>
      <w:pPr>
        <w:pStyle w:val="Standard"/>
        <w:jc w:val="both"/>
        <w:rPr>
          <w:color w:val="000000"/>
          <w:shd w:fill="FFFFFF" w:val="clear"/>
        </w:rPr>
      </w:pPr>
      <w:r>
        <w:rPr>
          <w:rFonts w:ascii="Times New Roman" w:hAnsi="Times New Roman"/>
          <w:color w:val="000000"/>
          <w:sz w:val="22"/>
          <w:szCs w:val="22"/>
          <w:shd w:fill="FFFFFF" w:val="clear"/>
          <w:lang w:val="ru-RU"/>
        </w:rPr>
        <w:t>именуемое в дальнейшем «</w:t>
      </w:r>
      <w:r>
        <w:rPr>
          <w:rFonts w:ascii="Times New Roman" w:hAnsi="Times New Roman"/>
          <w:b/>
          <w:color w:val="000000"/>
          <w:sz w:val="22"/>
          <w:szCs w:val="22"/>
          <w:shd w:fill="FFFFFF" w:val="clear"/>
          <w:lang w:val="ru-RU"/>
        </w:rPr>
        <w:t>Застройщик»</w:t>
      </w:r>
      <w:r>
        <w:rPr>
          <w:rFonts w:ascii="Times New Roman" w:hAnsi="Times New Roman"/>
          <w:color w:val="000000"/>
          <w:sz w:val="22"/>
          <w:szCs w:val="22"/>
          <w:shd w:fill="FFFFFF" w:val="clear"/>
          <w:lang w:val="ru-RU"/>
        </w:rPr>
        <w:t xml:space="preserve">, в лице индивидуального предпринимателя Андреевой Екатерины Игоревны, действующей на основании доверенности от </w:t>
      </w:r>
      <w:r>
        <w:rPr>
          <w:rFonts w:ascii="Times New Roman" w:hAnsi="Times New Roman"/>
          <w:color w:val="000000"/>
          <w:spacing w:val="-5"/>
          <w:sz w:val="22"/>
          <w:szCs w:val="22"/>
          <w:shd w:fill="FFFFFF" w:val="clear"/>
          <w:lang w:val="ru-RU"/>
        </w:rPr>
        <w:t>28.08.2024 г.</w:t>
      </w:r>
      <w:r>
        <w:rPr>
          <w:rFonts w:ascii="Times New Roman" w:hAnsi="Times New Roman"/>
          <w:color w:val="000000"/>
          <w:sz w:val="22"/>
          <w:szCs w:val="22"/>
          <w:shd w:fill="FFFFFF" w:val="clear"/>
          <w:lang w:val="ru-RU"/>
        </w:rPr>
        <w:t xml:space="preserve"> за №22/22-н/22-2024-3-299, удостоверена Наземцевой Ниной Захаровной, нотариусом Барнаульского нотариального округа, с одной стороны 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shd w:fill="FFFFFF" w:val="clear"/>
              </w:rPr>
            </w:pPr>
            <w:r>
              <w:rPr>
                <w:rFonts w:eastAsia="SimSun" w:cs="Mangal"/>
                <w:color w:val="000000"/>
                <w:kern w:val="2"/>
                <w:sz w:val="22"/>
                <w:szCs w:val="22"/>
                <w:shd w:fill="FFFFFF" w:val="clear"/>
                <w:lang w:bidi="hi-IN"/>
              </w:rPr>
              <w:t xml:space="preserve">Гражданин </w:t>
            </w:r>
            <w:r>
              <w:rPr>
                <w:rFonts w:eastAsia="SimSun" w:cs="Mangal"/>
                <w:b/>
                <w:bCs/>
                <w:color w:val="000000"/>
                <w:kern w:val="2"/>
                <w:sz w:val="22"/>
                <w:szCs w:val="22"/>
                <w:shd w:fill="FFFFFF" w:val="clear"/>
                <w:lang w:bidi="hi-IN"/>
              </w:rPr>
              <w:t>ФИО</w:t>
            </w:r>
          </w:p>
        </w:tc>
      </w:tr>
    </w:tbl>
    <w:p>
      <w:pPr>
        <w:pStyle w:val="Normal"/>
        <w:jc w:val="both"/>
        <w:rPr>
          <w:color w:val="000000"/>
          <w:shd w:fill="FFFFFF" w:val="clear"/>
        </w:rPr>
      </w:pPr>
      <w:r>
        <w:rPr>
          <w:rFonts w:eastAsia="Arial"/>
          <w:color w:val="000000"/>
          <w:sz w:val="22"/>
          <w:szCs w:val="22"/>
          <w:shd w:fill="FFFFFF" w:val="clear"/>
          <w:lang w:eastAsia="ru-RU"/>
        </w:rPr>
        <w:t>именуемый в дальнейшем</w:t>
      </w:r>
      <w:r>
        <w:rPr>
          <w:rFonts w:eastAsia="Arial"/>
          <w:b/>
          <w:bCs/>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color w:val="000000"/>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color w:val="000000"/>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многоэтажный жилой дом (кадастровый номер земельного участка 22:63:030308:838),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ул. Власихинская, дом 212, Корпус №6/2 </w:t>
      </w:r>
      <w:r>
        <w:rPr>
          <w:rFonts w:eastAsia="Times New Roman" w:cs="Times New Roman" w:ascii="Times New Roman" w:hAnsi="Times New Roman"/>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в собственность,</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hd w:fill="FFFFFF" w:val="clear"/>
        </w:rPr>
      </w:pPr>
      <w:r>
        <w:rPr>
          <w:rFonts w:eastAsia="Times New Roman" w:cs="Times New Roman" w:ascii="Times New Roman" w:hAnsi="Times New Roman"/>
          <w:bCs/>
          <w:color w:val="000000"/>
          <w:sz w:val="22"/>
          <w:szCs w:val="22"/>
          <w:shd w:fill="FFFFFF" w:val="clear"/>
        </w:rPr>
        <w:t>Жилой дом (Корпус №6/2) состоит из 2 блок-секций, количество этажей в корпусе — 9 этажей (из них 8 жилых этажа), с подвалом и теплым чердаком, крупнопанельный, без мусоропровода. Общая площадь здания 6966,3 кв.м, площадь квартир составляет 4428,5 кв.м. Материал наружных стен — сборные железобетонные панели заводского изготовления с утеплением наружных стен минераловатными плитами с облицовкой: алюминиевыми композитными панелями по фасадной подсистеме; негорючей бетонной клинкерной плиткой по фасадной подсистеме, стальными кассетами по фасадной подсистеме; материал поэтажных перекрытий - сборные железобетонные панели заводского изготовления. Класс энергоэффективности жилой секции «А». Класс сейсмостойкости — 6 баллов (по карте ОСР-2015А).</w:t>
      </w:r>
    </w:p>
    <w:p>
      <w:pPr>
        <w:pStyle w:val="ConsNormal"/>
        <w:widowControl/>
        <w:ind w:right="0" w:firstLine="540"/>
        <w:jc w:val="both"/>
        <w:rPr>
          <w:color w:val="000000"/>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283"/>
        <w:jc w:val="both"/>
        <w:rPr>
          <w:color w:val="000000"/>
          <w:shd w:fill="FFFFFF" w:val="clear"/>
        </w:rPr>
      </w:pPr>
      <w:r>
        <w:rPr>
          <w:rFonts w:cs="Times New Roman" w:ascii="Times New Roman" w:hAnsi="Times New Roman"/>
          <w:color w:val="000000"/>
          <w:sz w:val="22"/>
          <w:szCs w:val="22"/>
          <w:shd w:fill="FFFFFF" w:val="clear"/>
        </w:rPr>
        <w:t>вид — _____- комнатная квартира</w:t>
      </w:r>
    </w:p>
    <w:p>
      <w:pPr>
        <w:pStyle w:val="ConsNormal"/>
        <w:widowControl/>
        <w:ind w:right="0" w:firstLine="283"/>
        <w:jc w:val="both"/>
        <w:rPr>
          <w:color w:val="000000"/>
          <w:shd w:fill="FFFFFF" w:val="clear"/>
        </w:rPr>
      </w:pPr>
      <w:r>
        <w:rPr>
          <w:rFonts w:cs="Times New Roman" w:ascii="Times New Roman" w:hAnsi="Times New Roman"/>
          <w:color w:val="000000"/>
          <w:sz w:val="22"/>
          <w:szCs w:val="22"/>
          <w:shd w:fill="FFFFFF" w:val="clear"/>
        </w:rPr>
        <w:t>назначение - жилое</w:t>
      </w:r>
    </w:p>
    <w:p>
      <w:pPr>
        <w:pStyle w:val="Normal"/>
        <w:ind w:firstLine="283"/>
        <w:jc w:val="both"/>
        <w:rPr>
          <w:color w:val="000000"/>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ул. Власихинская, дом 212, Корпус №6/2</w:t>
      </w:r>
    </w:p>
    <w:p>
      <w:pPr>
        <w:pStyle w:val="ConsNormal"/>
        <w:widowControl/>
        <w:ind w:right="0" w:firstLine="540"/>
        <w:jc w:val="both"/>
        <w:rPr>
          <w:color w:val="000000"/>
          <w:shd w:fill="FFFFFF" w:val="clear"/>
        </w:rPr>
      </w:pPr>
      <w:r>
        <w:rPr>
          <w:rFonts w:eastAsia="Times New Roman" w:cs="Times New Roman" w:ascii="Times New Roman" w:hAnsi="Times New Roman"/>
          <w:b/>
          <w:bCs/>
          <w:color w:val="000000"/>
          <w:sz w:val="22"/>
          <w:szCs w:val="22"/>
          <w:shd w:fill="FFFFFF" w:val="clear"/>
        </w:rPr>
        <w:t>Будущий номер помещения №____</w:t>
      </w:r>
    </w:p>
    <w:tbl>
      <w:tblPr>
        <w:tblW w:w="9989" w:type="dxa"/>
        <w:jc w:val="left"/>
        <w:tblInd w:w="171" w:type="dxa"/>
        <w:tblLayout w:type="fixed"/>
        <w:tblCellMar>
          <w:top w:w="0" w:type="dxa"/>
          <w:left w:w="7" w:type="dxa"/>
          <w:bottom w:w="0" w:type="dxa"/>
          <w:right w:w="26" w:type="dxa"/>
        </w:tblCellMar>
        <w:tblLook w:firstRow="0" w:noVBand="0" w:lastRow="0" w:firstColumn="0" w:lastColumn="0" w:noHBand="0" w:val="0000"/>
      </w:tblPr>
      <w:tblGrid>
        <w:gridCol w:w="5126"/>
        <w:gridCol w:w="4862"/>
      </w:tblGrid>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color w:val="000000"/>
                <w:shd w:fill="FFFFFF" w:val="clear"/>
              </w:rPr>
            </w:pPr>
            <w:r>
              <w:rPr>
                <w:b/>
                <w:color w:val="000000"/>
                <w:sz w:val="22"/>
                <w:szCs w:val="22"/>
                <w:shd w:fill="FFFFFF" w:val="clear"/>
              </w:rPr>
              <w:t>Наименование характеристики</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shd w:fill="FFFFFF" w:val="clear"/>
              </w:rPr>
            </w:pPr>
            <w:r>
              <w:rPr>
                <w:b/>
                <w:color w:val="000000"/>
                <w:sz w:val="22"/>
                <w:szCs w:val="22"/>
                <w:shd w:fill="FFFFFF" w:val="clear"/>
              </w:rPr>
              <w:t>Описание характеристики</w:t>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Назначение</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z w:val="22"/>
                <w:szCs w:val="22"/>
                <w:shd w:fill="FFFFFF" w:val="clear"/>
              </w:rPr>
              <w:t>Жилое</w:t>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Общая площадь по проекту (приведенная площадь),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Общая площадь квартиры без учета лоджии (балкона),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hd w:fill="FFFFFF" w:val="clear"/>
              </w:rPr>
            </w:pPr>
            <w:r>
              <w:rPr>
                <w:color w:val="000000"/>
                <w:sz w:val="22"/>
                <w:szCs w:val="22"/>
                <w:shd w:fill="FFFFFF" w:val="clear"/>
              </w:rPr>
              <w:t>Жилая площадь, кв.м</w:t>
            </w:r>
          </w:p>
        </w:tc>
        <w:tc>
          <w:tcPr>
            <w:tcW w:w="4862"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Этаж</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hd w:fill="FFFFFF" w:val="clear"/>
              </w:rPr>
            </w:pPr>
            <w:r>
              <w:rPr>
                <w:color w:val="000000"/>
                <w:sz w:val="22"/>
                <w:szCs w:val="22"/>
                <w:shd w:fill="FFFFFF" w:val="clear"/>
              </w:rPr>
              <w:t>Подъезд</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кухни /кухонной зоны, кв. 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назначения-1 (коридор),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назначения-2 (санузел),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r>
        <w:trPr/>
        <w:tc>
          <w:tcPr>
            <w:tcW w:w="5126"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62"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shd w:fill="FFFFFF" w:val="clear"/>
              </w:rPr>
            </w:pPr>
            <w:r>
              <w:rPr>
                <w:color w:val="000000"/>
                <w:shd w:fill="FFFFFF" w:val="clear"/>
              </w:rPr>
            </w:r>
          </w:p>
        </w:tc>
      </w:tr>
    </w:tbl>
    <w:p>
      <w:pPr>
        <w:pStyle w:val="Normal"/>
        <w:ind w:hanging="30"/>
        <w:jc w:val="both"/>
        <w:rPr>
          <w:color w:val="000000"/>
          <w:shd w:fill="FFFFFF" w:val="clear"/>
        </w:rPr>
      </w:pPr>
      <w:r>
        <w:rPr>
          <w:color w:val="000000"/>
          <w:sz w:val="22"/>
          <w:szCs w:val="22"/>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ind w:firstLine="567"/>
        <w:jc w:val="both"/>
        <w:rPr>
          <w:shd w:fill="FFFFFF" w:val="clear"/>
        </w:rPr>
      </w:pPr>
      <w:r>
        <w:rPr>
          <w:color w:val="000000"/>
          <w:sz w:val="22"/>
          <w:szCs w:val="22"/>
          <w:shd w:fill="FFFFFF" w:val="clear"/>
        </w:rPr>
        <w:t>2.3. Техническое состояние на момент сдачи: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Застройщиком </w:t>
      </w:r>
      <w:r>
        <w:rPr>
          <w:rFonts w:eastAsia="Times New Roman"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 13015-2012 согласно допускам,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оконных и балконных блоков (при их наличии по проекту)</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без  устройства откосов и подоконных досок. Конструкция оконных блоков имеет открывающиеся и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остекление лоджии по проекту (при их наличии по проекту);</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устройства для распределения тепла (датчики)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с категорией поверхности А4.</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выполнение выравнивающей цементно - песчаной стяжки пола, не предусматривающей специальных условий для укладки определенных типов напольных покрытий.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В стоимость строительства не включаются и Застройщиком </w:t>
      </w:r>
      <w:r>
        <w:rPr>
          <w:rFonts w:eastAsia="Times New Roman" w:cs="Times New Roman" w:ascii="Times New Roman" w:hAnsi="Times New Roman"/>
          <w:b/>
          <w:bCs/>
          <w:color w:val="000000"/>
          <w:sz w:val="22"/>
          <w:szCs w:val="22"/>
          <w:shd w:fill="FFFFFF" w:val="clear"/>
        </w:rPr>
        <w:t xml:space="preserve">не выполняются </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наклейка обоев;</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укладка плитки в санузлах;</w:t>
      </w:r>
    </w:p>
    <w:p>
      <w:pPr>
        <w:pStyle w:val="ConsNormal"/>
        <w:widowControl/>
        <w:ind w:right="0" w:hanging="0"/>
        <w:jc w:val="both"/>
        <w:rPr>
          <w:shd w:fill="FFFFFF" w:val="clear"/>
        </w:rPr>
      </w:pPr>
      <w:r>
        <w:rPr>
          <w:rFonts w:ascii="Times New Roman" w:hAnsi="Times New Roman"/>
          <w:color w:val="000000"/>
          <w:sz w:val="22"/>
          <w:szCs w:val="22"/>
          <w:shd w:fill="FFFFFF" w:val="clear"/>
        </w:rPr>
        <w:t>- устройство цементно-песчаной стяжки пола в сан.узле;</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межкомнатных дверей и дверей в санузлах и кладовых;</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электроплит, УЗО;</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чистовая покраска потолков и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ConsNormal"/>
        <w:widowControl/>
        <w:ind w:right="0" w:firstLine="567"/>
        <w:jc w:val="both"/>
        <w:rPr>
          <w:shd w:fill="FFFFFF" w:val="clear"/>
        </w:rPr>
      </w:pPr>
      <w:r>
        <w:rPr>
          <w:rFonts w:eastAsia="Times New Roman" w:cs="Times New Roman" w:ascii="Times New Roman" w:hAnsi="Times New Roman"/>
          <w:color w:val="000000"/>
          <w:sz w:val="22"/>
          <w:szCs w:val="22"/>
          <w:shd w:fill="FFFFFF" w:val="clear"/>
        </w:rPr>
        <w:t>Регулируемые решетки со шторками в вентиляционных каналах кухонь и санузлов устанавливаются собственниками квартир и помещений самостоятельно.</w:t>
      </w:r>
    </w:p>
    <w:p>
      <w:pPr>
        <w:pStyle w:val="NormalWeb"/>
        <w:spacing w:before="0" w:after="0"/>
        <w:ind w:firstLine="567"/>
        <w:jc w:val="both"/>
        <w:rPr>
          <w:shd w:fill="FFFFFF" w:val="clear"/>
        </w:rPr>
      </w:pPr>
      <w:r>
        <w:rPr>
          <w:rFonts w:eastAsia="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shd w:fill="FFFFFF" w:val="clear"/>
        </w:rPr>
      </w:pPr>
      <w:r>
        <w:rPr>
          <w:rFonts w:eastAsia="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NormalWeb"/>
        <w:spacing w:before="0" w:after="0"/>
        <w:ind w:firstLine="540"/>
        <w:jc w:val="both"/>
        <w:rPr>
          <w:shd w:fill="FFFFFF" w:val="clear"/>
        </w:rPr>
      </w:pPr>
      <w:r>
        <w:rPr>
          <w:rFonts w:eastAsia="Times New Roman"/>
          <w:color w:val="000000"/>
          <w:sz w:val="22"/>
          <w:szCs w:val="22"/>
          <w:shd w:fill="FFFFFF" w:val="clear"/>
        </w:rPr>
        <w:t>Застройщик передает ЖБИ для которых необходима штукатурка, шпаклевка.</w:t>
      </w:r>
    </w:p>
    <w:p>
      <w:pPr>
        <w:pStyle w:val="Normal"/>
        <w:jc w:val="both"/>
        <w:rPr>
          <w:shd w:fill="FFFFFF" w:val="clear"/>
        </w:rPr>
      </w:pPr>
      <w:r>
        <w:rPr>
          <w:color w:val="000000"/>
          <w:sz w:val="22"/>
          <w:szCs w:val="22"/>
          <w:shd w:fill="FFFFFF" w:val="clear"/>
        </w:rPr>
        <w:t xml:space="preserve">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 </w:t>
      </w:r>
    </w:p>
    <w:p>
      <w:pPr>
        <w:pStyle w:val="Normal"/>
        <w:ind w:firstLine="737"/>
        <w:jc w:val="both"/>
        <w:rPr>
          <w:color w:val="000000"/>
          <w:shd w:fill="FFFFFF" w:val="clear"/>
        </w:rPr>
      </w:pPr>
      <w:r>
        <w:rPr>
          <w:color w:val="000000"/>
          <w:sz w:val="22"/>
          <w:szCs w:val="22"/>
          <w:shd w:fill="FFFFFF" w:val="clear"/>
        </w:rPr>
        <w:t>2.4. Настоя</w:t>
      </w:r>
      <w:r>
        <w:rPr>
          <w:color w:val="000000"/>
          <w:sz w:val="22"/>
          <w:szCs w:val="22"/>
          <w:shd w:fill="FFFFFF" w:val="clear"/>
        </w:rPr>
        <w:t>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color w:val="000000"/>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 _________</w:t>
      </w:r>
      <w:r>
        <w:rPr>
          <w:rFonts w:eastAsia="Times New Roman" w:cs="Times New Roman" w:ascii="Times New Roman" w:hAnsi="Times New Roman"/>
          <w:b/>
          <w:bCs/>
          <w:color w:val="000000"/>
          <w:sz w:val="22"/>
          <w:szCs w:val="22"/>
          <w:shd w:fill="FFFFFF" w:val="clear"/>
        </w:rPr>
        <w:t>,00 (_____________ рублей 00 копеек).</w:t>
      </w:r>
    </w:p>
    <w:p>
      <w:pPr>
        <w:pStyle w:val="ConsNormal"/>
        <w:widowControl/>
        <w:ind w:right="0" w:firstLine="737"/>
        <w:jc w:val="both"/>
        <w:rPr>
          <w:color w:val="000000"/>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color w:val="000000"/>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color w:val="000000"/>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color w:val="000000"/>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color w:val="000000"/>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color w:val="000000"/>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color w:val="000000"/>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color w:val="000000"/>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color w:val="000000"/>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color w:val="000000"/>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color w:val="000000"/>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 и последующего оформления прав собственности участника долевого строительства на объект недвижимости (в том числе государственная пошлина) по усмотрению Застройщика;</w:t>
      </w:r>
    </w:p>
    <w:p>
      <w:pPr>
        <w:pStyle w:val="Normal"/>
        <w:shd w:val="clear" w:color="auto" w:fill="FFFFFF"/>
        <w:ind w:firstLine="540"/>
        <w:jc w:val="both"/>
        <w:rPr>
          <w:color w:val="000000"/>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color w:val="000000"/>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color w:val="000000"/>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color w:val="000000"/>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color w:val="000000"/>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color w:val="000000"/>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color w:val="000000"/>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color w:val="000000"/>
          <w:shd w:fill="FFFFFF" w:val="clear"/>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color w:val="000000"/>
          <w:shd w:fill="FFFFFF" w:val="clear"/>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w:t>
      </w:r>
      <w:r>
        <w:rPr>
          <w:rFonts w:eastAsia="Times New Roman" w:cs="Times New Roman" w:ascii="Times New Roman" w:hAnsi="Times New Roman"/>
          <w:b w:val="false"/>
          <w:bCs w:val="false"/>
          <w:iCs/>
          <w:color w:val="000000"/>
          <w:sz w:val="22"/>
          <w:szCs w:val="22"/>
          <w:shd w:fill="FFFFFF" w:val="clear"/>
          <w:lang w:eastAsia="en-US"/>
        </w:rPr>
        <w:t>___,00 (_________ рублей 00 копеек)</w:t>
      </w:r>
      <w:r>
        <w:rPr>
          <w:rFonts w:eastAsia="Times New Roman" w:cs="Times New Roman" w:ascii="Times New Roman" w:hAnsi="Times New Roman"/>
          <w:b/>
          <w:bCs/>
          <w:iCs/>
          <w:color w:val="000000"/>
          <w:sz w:val="22"/>
          <w:szCs w:val="22"/>
          <w:shd w:fill="FFFFFF" w:val="clear"/>
          <w:lang w:eastAsia="en-US"/>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календарных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w:t>
      </w:r>
    </w:p>
    <w:p>
      <w:pPr>
        <w:pStyle w:val="ConsNormal"/>
        <w:widowControl/>
        <w:ind w:right="0" w:firstLine="709"/>
        <w:jc w:val="both"/>
        <w:rPr>
          <w:color w:val="000000"/>
          <w:shd w:fill="FFFFFF" w:val="clear"/>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12"/>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color w:val="000000"/>
          <w:shd w:fill="FFFFFF" w:val="clear"/>
        </w:rPr>
      </w:pPr>
      <w:r>
        <w:rPr>
          <w:b/>
          <w:color w:val="000000"/>
          <w:sz w:val="22"/>
          <w:szCs w:val="22"/>
          <w:shd w:fill="FFFFFF" w:val="clear"/>
        </w:rPr>
        <w:t xml:space="preserve">Депонент: </w:t>
      </w:r>
      <w:r>
        <w:rPr>
          <w:rFonts w:eastAsia="SimSun" w:cs="Mangal"/>
          <w:b/>
          <w:bCs/>
          <w:color w:val="000000"/>
          <w:kern w:val="2"/>
          <w:sz w:val="22"/>
          <w:szCs w:val="22"/>
          <w:shd w:fill="FFFFFF" w:val="clear"/>
          <w:lang w:bidi="hi-IN"/>
        </w:rPr>
        <w:t>ФИО</w:t>
      </w:r>
      <w:r>
        <w:rPr>
          <w:b/>
          <w:color w:val="000000"/>
          <w:sz w:val="22"/>
          <w:szCs w:val="22"/>
          <w:shd w:fill="FFFFFF" w:val="clear"/>
        </w:rPr>
        <w:t>;</w:t>
      </w:r>
    </w:p>
    <w:p>
      <w:pPr>
        <w:pStyle w:val="Normal"/>
        <w:jc w:val="both"/>
        <w:rPr>
          <w:color w:val="000000"/>
          <w:shd w:fill="FFFFFF" w:val="clear"/>
        </w:rPr>
      </w:pPr>
      <w:r>
        <w:rPr>
          <w:b/>
          <w:bCs/>
          <w:color w:val="000000"/>
          <w:sz w:val="22"/>
          <w:szCs w:val="22"/>
          <w:shd w:fill="FFFFFF" w:val="clear"/>
        </w:rPr>
        <w:t xml:space="preserve">Бенефициар: ООО «СЗ </w:t>
      </w:r>
      <w:r>
        <w:rPr>
          <w:rFonts w:eastAsia="Arial"/>
          <w:b/>
          <w:bCs/>
          <w:color w:val="000000"/>
          <w:sz w:val="22"/>
          <w:szCs w:val="22"/>
          <w:shd w:fill="FFFFFF" w:val="clear"/>
        </w:rPr>
        <w:t>Сибирский Уют</w:t>
      </w:r>
      <w:r>
        <w:rPr>
          <w:b/>
          <w:bCs/>
          <w:color w:val="000000"/>
          <w:sz w:val="22"/>
          <w:szCs w:val="22"/>
          <w:shd w:fill="FFFFFF" w:val="clear"/>
        </w:rPr>
        <w:t>»;</w:t>
      </w:r>
    </w:p>
    <w:p>
      <w:pPr>
        <w:pStyle w:val="ConsNormal"/>
        <w:widowControl/>
        <w:ind w:right="0" w:hanging="0"/>
        <w:jc w:val="both"/>
        <w:rPr>
          <w:color w:val="000000"/>
          <w:shd w:fill="FFFFFF" w:val="clear"/>
        </w:rPr>
      </w:pPr>
      <w:r>
        <w:rPr>
          <w:rFonts w:eastAsia="Times New Roman" w:cs="Times New Roman" w:ascii="Times New Roman" w:hAnsi="Times New Roman"/>
          <w:b/>
          <w:bCs/>
          <w:color w:val="000000"/>
          <w:sz w:val="22"/>
          <w:szCs w:val="22"/>
          <w:shd w:fill="FFFFFF" w:val="clear"/>
        </w:rPr>
        <w:t>Депонируемая сумма: ___,00 (_________ рублей 00 копеек);</w:t>
      </w:r>
    </w:p>
    <w:p>
      <w:pPr>
        <w:pStyle w:val="Normal"/>
        <w:jc w:val="both"/>
        <w:rPr>
          <w:color w:val="000000"/>
          <w:shd w:fill="FFFFFF" w:val="clear"/>
        </w:rPr>
      </w:pPr>
      <w:r>
        <w:rPr>
          <w:b/>
          <w:color w:val="000000"/>
          <w:sz w:val="22"/>
          <w:szCs w:val="22"/>
          <w:shd w:fill="FFFFFF" w:val="clear"/>
        </w:rPr>
        <w:t>Срок перечисления Депонентом Суммы депонирования: в соответствии с п. 3.3. настоящего договора;</w:t>
      </w:r>
    </w:p>
    <w:p>
      <w:pPr>
        <w:pStyle w:val="Normal"/>
        <w:tabs>
          <w:tab w:val="clear" w:pos="720"/>
          <w:tab w:val="left" w:pos="1134" w:leader="none"/>
        </w:tabs>
        <w:jc w:val="both"/>
        <w:rPr>
          <w:shd w:fill="FFFFFF" w:val="clear"/>
        </w:rPr>
      </w:pPr>
      <w:r>
        <w:rPr>
          <w:b/>
          <w:color w:val="000000"/>
          <w:sz w:val="22"/>
          <w:szCs w:val="22"/>
          <w:shd w:fill="FFFFFF" w:val="clear"/>
        </w:rPr>
        <w:t xml:space="preserve">Срок условного депонирования денежных средств:  </w:t>
      </w:r>
      <w:r>
        <w:rPr>
          <w:b/>
          <w:color w:val="000000"/>
          <w:sz w:val="22"/>
          <w:szCs w:val="22"/>
          <w:shd w:fill="FFFFFF" w:val="clear"/>
          <w:lang w:val="en-US"/>
        </w:rPr>
        <w:t xml:space="preserve">III </w:t>
      </w:r>
      <w:r>
        <w:rPr>
          <w:b/>
          <w:color w:val="000000"/>
          <w:sz w:val="22"/>
          <w:szCs w:val="22"/>
          <w:shd w:fill="FFFFFF" w:val="clear"/>
          <w:lang w:val="ru-RU"/>
        </w:rPr>
        <w:t>квартал</w:t>
      </w:r>
      <w:r>
        <w:rPr>
          <w:b/>
          <w:color w:val="000000"/>
          <w:sz w:val="22"/>
          <w:szCs w:val="22"/>
          <w:shd w:fill="FFFFFF" w:val="clear"/>
        </w:rPr>
        <w:t xml:space="preserve"> 2028 г.</w:t>
      </w:r>
    </w:p>
    <w:p>
      <w:pPr>
        <w:pStyle w:val="Normal"/>
        <w:tabs>
          <w:tab w:val="clear" w:pos="720"/>
          <w:tab w:val="left" w:pos="1134" w:leader="none"/>
        </w:tabs>
        <w:jc w:val="both"/>
        <w:rPr>
          <w:color w:val="000000"/>
          <w:shd w:fill="FFFFFF" w:val="clear"/>
        </w:rPr>
      </w:pPr>
      <w:r>
        <w:rPr>
          <w:b/>
          <w:color w:val="000000"/>
          <w:sz w:val="22"/>
          <w:szCs w:val="22"/>
          <w:shd w:fill="FFFFFF" w:val="clear"/>
        </w:rPr>
        <w:t>Основания перечисления застройщику (бенефициару) депонированной суммы</w:t>
      </w:r>
      <w:r>
        <w:rPr>
          <w:b/>
          <w:color w:val="000000"/>
          <w:sz w:val="22"/>
          <w:szCs w:val="22"/>
          <w:shd w:fill="FFFFFF" w:val="clear"/>
        </w:rPr>
        <w:t xml:space="preserve">: </w:t>
      </w:r>
    </w:p>
    <w:p>
      <w:pPr>
        <w:pStyle w:val="Normal"/>
        <w:tabs>
          <w:tab w:val="clear" w:pos="720"/>
          <w:tab w:val="left" w:pos="1134" w:leader="none"/>
        </w:tabs>
        <w:jc w:val="both"/>
        <w:rPr>
          <w:color w:val="000000"/>
          <w:shd w:fill="FFFFFF" w:val="clear"/>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color w:val="000000"/>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color w:val="000000"/>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color w:val="000000"/>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color w:val="000000"/>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color w:val="000000"/>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color w:val="000000"/>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w:t>
      </w:r>
      <w:r>
        <w:rPr>
          <w:rFonts w:eastAsia="Times New Roman" w:cs="Times New Roman" w:ascii="Times New Roman" w:hAnsi="Times New Roman"/>
          <w:color w:val="000000"/>
          <w:sz w:val="22"/>
          <w:szCs w:val="22"/>
          <w:shd w:fill="FFFFFF" w:val="clear"/>
        </w:rPr>
        <w:t>ю многоквартирного дома.</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4.1.4. Передать Участнику долевого строительства Объект долевого строительства</w:t>
      </w:r>
      <w:r>
        <w:rPr>
          <w:rFonts w:eastAsia="Times New Roman" w:cs="Times New Roman" w:ascii="Times New Roman" w:hAnsi="Times New Roman"/>
          <w:b/>
          <w:bCs/>
          <w:color w:val="000000"/>
          <w:sz w:val="22"/>
          <w:szCs w:val="22"/>
          <w:shd w:fill="FFFFFF" w:val="clear"/>
          <w:lang w:val="en-US"/>
        </w:rPr>
        <w:t xml:space="preserve"> I</w:t>
      </w:r>
      <w:r>
        <w:rPr>
          <w:rFonts w:eastAsia="Times New Roman" w:cs="Times New Roman" w:ascii="Times New Roman" w:hAnsi="Times New Roman"/>
          <w:b/>
          <w:bCs/>
          <w:color w:val="000000"/>
          <w:sz w:val="22"/>
          <w:szCs w:val="22"/>
          <w:shd w:fill="FFFFFF" w:val="clear"/>
          <w:lang w:val="ru-RU"/>
        </w:rPr>
        <w:t xml:space="preserve"> квартал 2028</w:t>
      </w:r>
      <w:r>
        <w:rPr>
          <w:rFonts w:eastAsia="Times New Roman" w:cs="Times New Roman" w:ascii="Times New Roman" w:hAnsi="Times New Roman"/>
          <w:b/>
          <w:color w:val="000000"/>
          <w:sz w:val="22"/>
          <w:szCs w:val="22"/>
          <w:shd w:fill="FFFFFF" w:val="clear"/>
          <w:lang w:val="ru-RU"/>
        </w:rPr>
        <w:t xml:space="preserve"> </w:t>
      </w: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color w:val="000000"/>
          <w:sz w:val="22"/>
          <w:szCs w:val="22"/>
          <w:shd w:fill="FFFFFF" w:val="clear"/>
        </w:rPr>
        <w:t>. При</w:t>
      </w:r>
      <w:r>
        <w:rPr>
          <w:rFonts w:eastAsia="Times New Roman" w:cs="Times New Roman" w:ascii="Times New Roman" w:hAnsi="Times New Roman"/>
          <w:color w:val="000000"/>
          <w:sz w:val="22"/>
          <w:szCs w:val="22"/>
          <w:shd w:fill="FFFFFF" w:val="clear"/>
        </w:rPr>
        <w:t xml:space="preserve">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color w:val="000000"/>
          <w:shd w:fill="FFFFFF" w:val="clear"/>
        </w:rPr>
      </w:pPr>
      <w:r>
        <w:rPr>
          <w:rFonts w:cs="Times New Roman" w:ascii="Times New Roman" w:hAnsi="Times New Roman"/>
          <w:color w:val="000000"/>
          <w:sz w:val="22"/>
          <w:szCs w:val="22"/>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F" w:val="clear"/>
        </w:rPr>
        <w:t>обязательным</w:t>
      </w:r>
      <w:r>
        <w:rPr>
          <w:rFonts w:cs="Times New Roman"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color w:val="000000"/>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color w:val="000000"/>
          <w:shd w:fill="FFFFFF" w:val="clear"/>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color w:val="000000"/>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ConsNormal"/>
        <w:widowControl/>
        <w:ind w:right="0" w:firstLine="570"/>
        <w:jc w:val="both"/>
        <w:rPr>
          <w:color w:val="000000"/>
          <w:shd w:fill="FFFFFF" w:val="clear"/>
        </w:rPr>
      </w:pPr>
      <w:r>
        <w:rPr>
          <w:rFonts w:eastAsia="Times New Roman" w:cs="Times New Roman" w:ascii="Times New Roman" w:hAnsi="Times New Roman"/>
          <w:color w:val="000000"/>
          <w:sz w:val="22"/>
          <w:szCs w:val="22"/>
          <w:shd w:fill="FFFFFF" w:val="clear"/>
        </w:rPr>
        <w:t xml:space="preserve">4.2.8. Участник долевого строительства обязуется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w:t>
      </w:r>
      <w:r>
        <w:rPr>
          <w:rFonts w:eastAsia="Times New Roman" w:cs="Times New Roman" w:ascii="Times New Roman" w:hAnsi="Times New Roman"/>
          <w:bCs/>
          <w:color w:val="000000"/>
          <w:sz w:val="22"/>
          <w:szCs w:val="22"/>
          <w:shd w:fill="FFFFFF" w:val="clear"/>
        </w:rPr>
        <w:t xml:space="preserve">после завершения строительства и направления Застройщиком </w:t>
      </w:r>
      <w:r>
        <w:rPr>
          <w:rFonts w:eastAsia="Times New Roman" w:cs="Times New Roman" w:ascii="Times New Roman" w:hAnsi="Times New Roman"/>
          <w:color w:val="000000"/>
          <w:sz w:val="22"/>
          <w:szCs w:val="22"/>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за исключением случаев, предусмотренных п. 5.1.3. Договора.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color w:val="000000"/>
          <w:shd w:fill="FFFFFF" w:val="clear"/>
        </w:rPr>
      </w:pPr>
      <w:r>
        <w:rPr>
          <w:color w:val="000000"/>
          <w:sz w:val="22"/>
          <w:szCs w:val="22"/>
          <w:shd w:fill="FFFFFF" w:val="clear"/>
        </w:rPr>
        <w:t>5. ПРАВА СТОРОН</w:t>
      </w:r>
    </w:p>
    <w:p>
      <w:pPr>
        <w:pStyle w:val="NormalWeb"/>
        <w:spacing w:before="0" w:after="0"/>
        <w:ind w:firstLine="539"/>
        <w:jc w:val="both"/>
        <w:rPr>
          <w:color w:val="000000"/>
          <w:shd w:fill="FFFFFF" w:val="clear"/>
        </w:rPr>
      </w:pPr>
      <w:r>
        <w:rPr>
          <w:color w:val="000000"/>
          <w:sz w:val="22"/>
          <w:szCs w:val="22"/>
          <w:shd w:fill="FFFFFF" w:val="clear"/>
        </w:rPr>
        <w:t>5.1. Застройщик вправе:</w:t>
      </w:r>
    </w:p>
    <w:p>
      <w:pPr>
        <w:pStyle w:val="NormalWeb"/>
        <w:spacing w:before="0" w:after="0"/>
        <w:ind w:firstLine="539"/>
        <w:jc w:val="both"/>
        <w:rPr>
          <w:color w:val="000000"/>
          <w:shd w:fill="FFFFFF" w:val="clear"/>
        </w:rPr>
      </w:pPr>
      <w:r>
        <w:rPr>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color w:val="000000"/>
          <w:shd w:fill="FFFFFF" w:val="clear"/>
        </w:rPr>
      </w:pPr>
      <w:r>
        <w:rPr>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19"/>
        <w:spacing w:lineRule="auto" w:line="240" w:before="0" w:after="0"/>
        <w:ind w:firstLine="567"/>
        <w:jc w:val="both"/>
        <w:rPr>
          <w:color w:val="000000"/>
          <w:shd w:fill="FFFFFF" w:val="clear"/>
        </w:rPr>
      </w:pPr>
      <w:r>
        <w:rPr>
          <w:rFonts w:cs="Times New Roman" w:ascii="Times New Roman" w:hAnsi="Times New Roman"/>
          <w:bCs/>
          <w:color w:val="000000"/>
          <w:sz w:val="22"/>
          <w:szCs w:val="22"/>
          <w:shd w:fill="FFFFFF" w:val="clear"/>
        </w:rPr>
        <w:t>5.1.3.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после завершения строительства и направления Застройщиком 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w:t>
      </w:r>
    </w:p>
    <w:p>
      <w:pPr>
        <w:pStyle w:val="NormalWeb"/>
        <w:spacing w:before="0" w:after="0"/>
        <w:ind w:firstLine="539"/>
        <w:jc w:val="both"/>
        <w:rPr>
          <w:color w:val="000000"/>
          <w:shd w:fill="FFFFFF" w:val="clear"/>
        </w:rPr>
      </w:pPr>
      <w:r>
        <w:rPr>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color w:val="000000"/>
          <w:shd w:fill="FFFFFF" w:val="clear"/>
        </w:rPr>
      </w:pPr>
      <w:r>
        <w:rPr>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color w:val="000000"/>
          <w:shd w:fill="FFFFFF" w:val="clear"/>
        </w:rPr>
      </w:pPr>
      <w:r>
        <w:rPr>
          <w:color w:val="000000"/>
          <w:sz w:val="22"/>
          <w:szCs w:val="22"/>
          <w:shd w:fill="FFFFFF" w:val="clear"/>
        </w:rPr>
        <w:t>6. ОТВЕТСТВЕННОСТЬ СТОРОН</w:t>
      </w:r>
    </w:p>
    <w:p>
      <w:pPr>
        <w:pStyle w:val="NormalWeb"/>
        <w:spacing w:before="0" w:after="0"/>
        <w:ind w:firstLine="539"/>
        <w:jc w:val="both"/>
        <w:rPr>
          <w:color w:val="000000"/>
          <w:shd w:fill="FFFFFF" w:val="clear"/>
        </w:rPr>
      </w:pPr>
      <w:r>
        <w:rPr>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color w:val="000000"/>
          <w:shd w:fill="FFFFFF" w:val="clear"/>
        </w:rPr>
      </w:pPr>
      <w:r>
        <w:rPr>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color w:val="000000"/>
          <w:shd w:fill="FFFFFF" w:val="clear"/>
        </w:rPr>
      </w:pPr>
      <w:r>
        <w:rPr>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color w:val="000000"/>
          <w:shd w:fill="FFFFFF" w:val="clear"/>
        </w:rPr>
      </w:pPr>
      <w:r>
        <w:rPr>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color w:val="000000"/>
          <w:shd w:fill="FFFFFF" w:val="clear"/>
        </w:rPr>
      </w:pPr>
      <w:r>
        <w:rPr>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color w:val="000000"/>
          <w:shd w:fill="FFFFFF" w:val="clear"/>
        </w:rPr>
      </w:pPr>
      <w:r>
        <w:rPr>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color w:val="000000"/>
          <w:shd w:fill="FFFFFF" w:val="clear"/>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
        <w:suppressAutoHyphens w:val="false"/>
        <w:ind w:firstLine="567"/>
        <w:jc w:val="both"/>
        <w:rPr>
          <w:color w:val="000000"/>
          <w:shd w:fill="FFFFFF" w:val="clear"/>
        </w:rPr>
      </w:pPr>
      <w:r>
        <w:rPr>
          <w:color w:val="000000"/>
          <w:sz w:val="22"/>
          <w:szCs w:val="22"/>
          <w:shd w:fill="FFFFFF" w:val="clear"/>
          <w:lang w:eastAsia="ru-RU"/>
        </w:rPr>
        <w:t xml:space="preserve">6.9. Стороны настоящего договора подтверждают, что не являются взаимозависимыми лицами в соответствии со статьей 105.1 Налогового кодекса Российской Федерации. </w:t>
      </w:r>
    </w:p>
    <w:p>
      <w:pPr>
        <w:pStyle w:val="Normal"/>
        <w:suppressAutoHyphens w:val="false"/>
        <w:ind w:firstLine="567"/>
        <w:jc w:val="both"/>
        <w:rPr>
          <w:color w:val="000000"/>
          <w:shd w:fill="FFFFFF" w:val="clear"/>
        </w:rPr>
      </w:pPr>
      <w:r>
        <w:rPr>
          <w:color w:val="000000"/>
          <w:sz w:val="22"/>
          <w:szCs w:val="22"/>
          <w:shd w:fill="FFFFFF" w:val="clear"/>
          <w:lang w:eastAsia="ru-RU"/>
        </w:rPr>
        <w:t>Застройщик гарантирует, что не является иностранным агентом в понимании Федерального закона от 14.07.2022 N 255-ФЗ «О контроле за деятельностью лиц, находящихся под иностранным влиянием», и он не обязан использовать специальный рублевый счет, открытый в уполномоченном банке, режим которого, в том числе особенности внесения на него платежей и списания с него средств, устанавливается решением Совета директоров Центрального банка Российской Федерации, подлежащим официальному опубликованию в соответствии со статьей 7 Федерального закона от 10 июля 2002 года N 86-ФЗ «О Центральном банке Российской Федерации (Банке России).</w:t>
      </w:r>
    </w:p>
    <w:p>
      <w:pPr>
        <w:pStyle w:val="NormalWeb"/>
        <w:spacing w:before="0" w:after="0"/>
        <w:jc w:val="both"/>
        <w:rPr>
          <w:color w:val="000000"/>
          <w:sz w:val="22"/>
          <w:szCs w:val="22"/>
          <w:shd w:fill="FFFFFF" w:val="clear"/>
        </w:rPr>
      </w:pPr>
      <w:r>
        <w:rPr>
          <w:color w:val="000000"/>
          <w:sz w:val="22"/>
          <w:szCs w:val="22"/>
          <w:shd w:fill="FFFFFF" w:val="clear"/>
        </w:rPr>
      </w:r>
    </w:p>
    <w:p>
      <w:pPr>
        <w:pStyle w:val="NormalWeb"/>
        <w:spacing w:before="0" w:after="0"/>
        <w:jc w:val="center"/>
        <w:rPr>
          <w:color w:val="000000"/>
          <w:shd w:fill="FFFFFF" w:val="clear"/>
        </w:rPr>
      </w:pPr>
      <w:r>
        <w:rPr>
          <w:color w:val="000000"/>
          <w:sz w:val="22"/>
          <w:szCs w:val="22"/>
          <w:shd w:fill="FFFFFF" w:val="clear"/>
        </w:rPr>
        <w:t>7. ГАРАНТИИ КАЧЕСТВА</w:t>
      </w:r>
    </w:p>
    <w:p>
      <w:pPr>
        <w:pStyle w:val="NormalWeb"/>
        <w:spacing w:before="0" w:after="0"/>
        <w:ind w:firstLine="539"/>
        <w:jc w:val="both"/>
        <w:rPr>
          <w:color w:val="000000"/>
          <w:shd w:fill="FFFFFF" w:val="clear"/>
        </w:rPr>
      </w:pPr>
      <w:r>
        <w:rPr>
          <w:color w:val="000000"/>
          <w:sz w:val="22"/>
          <w:szCs w:val="22"/>
          <w:shd w:fill="FFFFFF" w:val="clear"/>
        </w:rPr>
        <w:t xml:space="preserve">7.1. Объект долевого строительства должен соответствовать </w:t>
      </w:r>
      <w:r>
        <w:rPr>
          <w:b/>
          <w:bCs/>
          <w:color w:val="000000"/>
          <w:sz w:val="22"/>
          <w:szCs w:val="22"/>
          <w:shd w:fill="FFFFFF" w:val="clear"/>
        </w:rPr>
        <w:t>обязательным</w:t>
      </w:r>
      <w:r>
        <w:rPr>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color w:val="000000"/>
          <w:shd w:fill="FFFFFF" w:val="clear"/>
        </w:rPr>
      </w:pPr>
      <w:r>
        <w:rPr>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color w:val="000000"/>
          <w:shd w:fill="FFFFFF" w:val="clear"/>
        </w:rPr>
      </w:pPr>
      <w:r>
        <w:rPr>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color w:val="000000"/>
          <w:shd w:fill="FFFFFF" w:val="clear"/>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3 (трех)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color w:val="000000"/>
          <w:shd w:fill="FFFFFF" w:val="clear"/>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color w:val="000000"/>
          <w:shd w:fill="FFFFFF" w:val="clear"/>
        </w:rPr>
      </w:pPr>
      <w:r>
        <w:rPr>
          <w:color w:val="000000"/>
          <w:sz w:val="22"/>
          <w:szCs w:val="22"/>
          <w:shd w:fill="FFFFFF" w:val="clear"/>
        </w:rPr>
        <w:t>8. УСТУПКА ПРАВ ТРЕБОВАНИЙ ПО ДОГОВОРУ</w:t>
      </w:r>
    </w:p>
    <w:p>
      <w:pPr>
        <w:pStyle w:val="NormalWeb"/>
        <w:spacing w:before="0" w:after="0"/>
        <w:ind w:firstLine="539"/>
        <w:jc w:val="both"/>
        <w:rPr>
          <w:color w:val="000000"/>
          <w:shd w:fill="FFFFFF" w:val="clear"/>
        </w:rPr>
      </w:pPr>
      <w:r>
        <w:rPr>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color w:val="000000"/>
          <w:shd w:fill="FFFFFF" w:val="clear"/>
        </w:rPr>
      </w:pPr>
      <w:r>
        <w:rPr>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color w:val="000000"/>
          <w:shd w:fill="FFFFFF" w:val="clear"/>
        </w:rPr>
      </w:pPr>
      <w:r>
        <w:rPr>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color w:val="000000"/>
          <w:shd w:fill="FFFFFF" w:val="clear"/>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color w:val="000000"/>
          <w:shd w:fill="FFFFFF" w:val="clear"/>
        </w:rPr>
      </w:pPr>
      <w:r>
        <w:rPr>
          <w:color w:val="000000"/>
          <w:sz w:val="22"/>
          <w:szCs w:val="22"/>
          <w:shd w:fill="FFFFFF" w:val="clear"/>
        </w:rPr>
        <w:t>9. ФОРС-МАЖОРНЫЕ ОБСТОЯТЕЛЬСТВА</w:t>
      </w:r>
    </w:p>
    <w:p>
      <w:pPr>
        <w:pStyle w:val="NormalWeb"/>
        <w:spacing w:before="0" w:after="0"/>
        <w:ind w:firstLine="539"/>
        <w:jc w:val="both"/>
        <w:rPr>
          <w:color w:val="000000"/>
          <w:shd w:fill="FFFFFF" w:val="clear"/>
        </w:rPr>
      </w:pPr>
      <w:r>
        <w:rPr>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color w:val="000000"/>
          <w:shd w:fill="FFFFFF" w:val="clear"/>
        </w:rPr>
      </w:pPr>
      <w:r>
        <w:rPr>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color w:val="000000"/>
          <w:shd w:fill="FFFFFF" w:val="clear"/>
        </w:rPr>
      </w:pPr>
      <w:r>
        <w:rPr>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color w:val="000000"/>
          <w:shd w:fill="FFFFFF" w:val="clear"/>
        </w:rPr>
      </w:pPr>
      <w:r>
        <w:rPr>
          <w:color w:val="000000"/>
          <w:sz w:val="22"/>
          <w:szCs w:val="22"/>
          <w:shd w:fill="FFFFFF" w:val="clear"/>
        </w:rPr>
        <w:t>10. ПРОЧИЕ УСЛОВИЯ</w:t>
      </w:r>
    </w:p>
    <w:p>
      <w:pPr>
        <w:pStyle w:val="NormalWeb"/>
        <w:spacing w:before="0" w:after="0"/>
        <w:ind w:firstLine="539"/>
        <w:jc w:val="both"/>
        <w:rPr>
          <w:color w:val="000000"/>
          <w:shd w:fill="FFFFFF" w:val="clear"/>
        </w:rPr>
      </w:pPr>
      <w:r>
        <w:rPr>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color w:val="000000"/>
          <w:shd w:fill="FFFFFF" w:val="clear"/>
        </w:rPr>
      </w:pPr>
      <w:r>
        <w:rPr>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color w:val="000000"/>
          <w:shd w:fill="FFFFFF" w:val="clear"/>
        </w:rPr>
      </w:pPr>
      <w:r>
        <w:rPr>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color w:val="000000"/>
          <w:shd w:fill="FFFFFF" w:val="clear"/>
        </w:rPr>
      </w:pPr>
      <w:r>
        <w:rPr>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color w:val="000000"/>
          <w:shd w:fill="FFFFFF" w:val="clear"/>
        </w:rPr>
      </w:pPr>
      <w:r>
        <w:rPr>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color w:val="000000"/>
          <w:shd w:fill="FFFFFF" w:val="clear"/>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color w:val="000000"/>
          <w:shd w:fill="FFFFFF" w:val="clear"/>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SimSun" w:cs="Mangal"/>
          <w:b/>
          <w:bCs/>
          <w:color w:val="000000"/>
          <w:kern w:val="2"/>
          <w:sz w:val="22"/>
          <w:szCs w:val="22"/>
          <w:shd w:fill="FFFFFF" w:val="clear"/>
          <w:lang w:eastAsia="ru-RU" w:bidi="hi-IN"/>
        </w:rPr>
        <w:t>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Arial"/>
          <w:color w:val="000000"/>
          <w:sz w:val="22"/>
          <w:szCs w:val="22"/>
          <w:shd w:fill="FFFFFF" w:val="clear"/>
        </w:rPr>
        <w:t>Сибирский Уют</w:t>
      </w:r>
      <w:r>
        <w:rPr>
          <w:color w:val="000000"/>
          <w:sz w:val="22"/>
          <w:szCs w:val="22"/>
          <w:shd w:fill="FFFFFF" w:val="clear"/>
        </w:rPr>
        <w:t>»</w:t>
        <w:tab/>
        <w:t xml:space="preserve">(656037, г. Барнаул, пр. Калинина, влд. 112/27, офис 201, ОГРН 1232200018930), далее — Оператор, на обработку моих персональных данных в целях исполнения настоящего договора.    </w:t>
      </w:r>
    </w:p>
    <w:p>
      <w:pPr>
        <w:pStyle w:val="Normal"/>
        <w:jc w:val="both"/>
        <w:rPr>
          <w:color w:val="000000"/>
          <w:shd w:fill="FFFFFF" w:val="clear"/>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color w:val="000000"/>
                <w:shd w:fill="FFFFFF" w:val="clear"/>
              </w:rPr>
            </w:pPr>
            <w:r>
              <w:rPr>
                <w:rFonts w:eastAsia="SimSun" w:cs="Mangal"/>
                <w:color w:val="000000"/>
                <w:kern w:val="2"/>
                <w:sz w:val="22"/>
                <w:szCs w:val="22"/>
                <w:shd w:fill="FFFFFF" w:val="clear"/>
                <w:lang w:bidi="hi-IN"/>
              </w:rPr>
              <w:t xml:space="preserve">Гражданин </w:t>
            </w:r>
            <w:r>
              <w:rPr>
                <w:rFonts w:eastAsia="SimSun" w:cs="Mangal"/>
                <w:b/>
                <w:bCs/>
                <w:color w:val="000000"/>
                <w:kern w:val="2"/>
                <w:sz w:val="22"/>
                <w:szCs w:val="22"/>
                <w:shd w:fill="FFFFFF" w:val="clear"/>
                <w:lang w:bidi="hi-IN"/>
              </w:rPr>
              <w:t>ФИО</w:t>
            </w:r>
          </w:p>
        </w:tc>
      </w:tr>
    </w:tbl>
    <w:p>
      <w:pPr>
        <w:pStyle w:val="Normal"/>
        <w:ind w:firstLine="540"/>
        <w:jc w:val="both"/>
        <w:rPr>
          <w:color w:val="000000"/>
          <w:sz w:val="22"/>
          <w:szCs w:val="22"/>
          <w:shd w:fill="FFFFFF" w:val="clear"/>
        </w:rPr>
      </w:pPr>
      <w:r>
        <w:rPr>
          <w:color w:val="000000"/>
          <w:sz w:val="22"/>
          <w:szCs w:val="22"/>
          <w:shd w:fill="FFFFFF" w:val="clear"/>
        </w:rPr>
      </w:r>
    </w:p>
    <w:p>
      <w:pPr>
        <w:pStyle w:val="ConsNormal"/>
        <w:widowControl/>
        <w:ind w:right="0" w:firstLine="540"/>
        <w:jc w:val="both"/>
        <w:rPr>
          <w:color w:val="000000"/>
          <w:shd w:fill="FFFFFF" w:val="clear"/>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color w:val="000000"/>
          <w:shd w:fill="FFFFFF" w:val="clear"/>
        </w:rPr>
      </w:pPr>
      <w:r>
        <w:rPr>
          <w:rFonts w:eastAsia="Arial"/>
          <w:color w:val="000000"/>
          <w:sz w:val="22"/>
          <w:szCs w:val="22"/>
          <w:shd w:fill="FFFFFF" w:val="clear"/>
        </w:rPr>
        <w:t>Я уведомлен и понимаю, что:</w:t>
      </w:r>
    </w:p>
    <w:p>
      <w:pPr>
        <w:pStyle w:val="Normal"/>
        <w:numPr>
          <w:ilvl w:val="0"/>
          <w:numId w:val="3"/>
        </w:numPr>
        <w:jc w:val="both"/>
        <w:rPr>
          <w:color w:val="000000"/>
          <w:shd w:fill="FFFFFF" w:val="clear"/>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color w:val="000000"/>
          <w:shd w:fill="FFFFFF" w:val="clear"/>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color w:val="000000"/>
          <w:shd w:fill="FFFFFF" w:val="clear"/>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color w:val="000000"/>
          <w:shd w:fill="FFFFFF" w:val="clear"/>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color w:val="000000"/>
          <w:shd w:fill="FFFFFF" w:val="clear"/>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color w:val="000000"/>
          <w:shd w:fill="FFFFFF" w:val="clear"/>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color w:val="000000"/>
          <w:shd w:fill="FFFFFF" w:val="clear"/>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shd w:fill="FFFFFF" w:val="clear"/>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color w:val="000000"/>
          <w:shd w:fill="FFFFFF" w:val="clear"/>
        </w:rPr>
      </w:pPr>
      <w:r>
        <w:rPr>
          <w:color w:val="000000"/>
          <w:sz w:val="22"/>
          <w:szCs w:val="22"/>
          <w:shd w:fill="FFFFFF" w:val="clear"/>
        </w:rPr>
        <w:t>Застройщик:</w:t>
      </w:r>
    </w:p>
    <w:p>
      <w:pPr>
        <w:pStyle w:val="ConsNonformat"/>
        <w:widowControl/>
        <w:ind w:right="0" w:hanging="0"/>
        <w:jc w:val="right"/>
        <w:rPr>
          <w:color w:val="000000"/>
          <w:shd w:fill="FFFFFF" w:val="clear"/>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color w:val="000000"/>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rmal"/>
        <w:widowControl/>
        <w:tabs>
          <w:tab w:val="clear" w:pos="720"/>
          <w:tab w:val="left" w:pos="4320" w:leader="none"/>
        </w:tabs>
        <w:ind w:right="0" w:hanging="0"/>
        <w:jc w:val="both"/>
        <w:rPr>
          <w:color w:val="000000"/>
          <w:shd w:fill="FFFFFF" w:val="clear"/>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color w:val="000000"/>
          <w:shd w:fill="FFFFFF" w:val="clear"/>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Normal"/>
        <w:ind w:left="5760" w:hanging="0"/>
        <w:jc w:val="right"/>
        <w:rPr>
          <w:color w:val="000000"/>
          <w:shd w:fill="FFFFFF" w:val="clear"/>
        </w:rPr>
      </w:pPr>
      <w:r>
        <w:rPr>
          <w:color w:val="000000"/>
          <w:sz w:val="22"/>
          <w:szCs w:val="22"/>
          <w:shd w:fill="FFFFFF" w:val="clear"/>
        </w:rPr>
        <w:t>Приложение №1</w:t>
      </w:r>
    </w:p>
    <w:p>
      <w:pPr>
        <w:pStyle w:val="Normal"/>
        <w:ind w:left="5760" w:hanging="0"/>
        <w:jc w:val="right"/>
        <w:rPr>
          <w:color w:val="000000"/>
          <w:sz w:val="22"/>
          <w:szCs w:val="22"/>
          <w:shd w:fill="FFFFFF" w:val="clear"/>
        </w:rPr>
      </w:pPr>
      <w:r>
        <w:rPr>
          <w:color w:val="000000"/>
          <w:sz w:val="22"/>
          <w:szCs w:val="22"/>
          <w:shd w:fill="FFFFFF" w:val="clear"/>
        </w:rPr>
        <w:t>к договору №</w:t>
      </w:r>
      <w:r>
        <w:rPr>
          <w:rFonts w:eastAsia="Times New Roman" w:cs="Times New Roman"/>
          <w:b/>
          <w:bCs/>
          <w:color w:val="000000"/>
          <w:sz w:val="22"/>
          <w:szCs w:val="22"/>
          <w:shd w:fill="FFFFFF" w:val="clear"/>
        </w:rPr>
        <w:t>212-6/2-___</w:t>
      </w:r>
      <w:r>
        <w:rPr>
          <w:b/>
          <w:bCs/>
          <w:color w:val="000000"/>
          <w:sz w:val="22"/>
          <w:szCs w:val="22"/>
          <w:shd w:fill="FFFFFF" w:val="clear"/>
        </w:rPr>
        <w:t xml:space="preserve"> </w:t>
      </w:r>
      <w:r>
        <w:rPr>
          <w:color w:val="000000"/>
          <w:sz w:val="22"/>
          <w:szCs w:val="22"/>
          <w:shd w:fill="FFFFFF" w:val="clear"/>
        </w:rPr>
        <w:t>участия в долевом строительстве многоквартирного дома</w:t>
      </w:r>
    </w:p>
    <w:p>
      <w:pPr>
        <w:pStyle w:val="Normal"/>
        <w:ind w:left="5760" w:hanging="0"/>
        <w:jc w:val="right"/>
        <w:rPr>
          <w:color w:val="000000"/>
          <w:sz w:val="22"/>
          <w:szCs w:val="22"/>
          <w:shd w:fill="FFFFFF" w:val="clear"/>
        </w:rPr>
      </w:pPr>
      <w:r>
        <w:rPr>
          <w:b/>
          <w:bCs/>
          <w:color w:val="000000"/>
          <w:sz w:val="22"/>
          <w:szCs w:val="22"/>
          <w:shd w:fill="FFFFFF" w:val="clear"/>
          <w:lang w:val="ru-RU"/>
        </w:rPr>
        <w:t xml:space="preserve"> </w:t>
      </w:r>
      <w:bookmarkStart w:id="3" w:name="__DdeLink__13007_1419595999_Копия_1"/>
      <w:r>
        <w:rPr>
          <w:rFonts w:eastAsia="Times New Roman" w:cs="Times New Roman"/>
          <w:b/>
          <w:bCs/>
          <w:color w:val="000000"/>
          <w:sz w:val="22"/>
          <w:szCs w:val="22"/>
          <w:shd w:fill="FFFFFF" w:val="clear"/>
          <w:lang w:val="en-US"/>
        </w:rPr>
        <w:t>«___» ________ 2026 г.</w:t>
      </w:r>
      <w:bookmarkEnd w:id="3"/>
      <w:r>
        <w:rPr>
          <w:rFonts w:eastAsia="Times New Roman" w:cs="Times New Roman"/>
          <w:b/>
          <w:bCs/>
          <w:color w:val="000000"/>
          <w:sz w:val="22"/>
          <w:szCs w:val="22"/>
          <w:shd w:fill="FFFFFF" w:val="clear"/>
          <w:lang w:val="en-US"/>
        </w:rPr>
        <w:t xml:space="preserve"> </w:t>
      </w:r>
    </w:p>
    <w:p>
      <w:pPr>
        <w:pStyle w:val="Normal"/>
        <w:ind w:left="5760" w:hanging="0"/>
        <w:jc w:val="right"/>
        <w:rPr>
          <w:b/>
          <w:b/>
          <w:color w:val="000000"/>
          <w:sz w:val="22"/>
          <w:szCs w:val="22"/>
          <w:shd w:fill="FFFFFF" w:val="clear"/>
          <w:lang w:val="en-US"/>
        </w:rPr>
      </w:pPr>
      <w:r>
        <w:rPr>
          <w:b/>
          <w:color w:val="000000"/>
          <w:sz w:val="22"/>
          <w:szCs w:val="22"/>
          <w:shd w:fill="FFFFFF" w:val="clear"/>
          <w:lang w:val="en-US"/>
        </w:rPr>
      </w:r>
    </w:p>
    <w:p>
      <w:pPr>
        <w:pStyle w:val="Normal"/>
        <w:jc w:val="center"/>
        <w:rPr>
          <w:b/>
          <w:b/>
          <w:color w:val="000000"/>
          <w:sz w:val="22"/>
          <w:szCs w:val="22"/>
          <w:shd w:fill="FFFFFF" w:val="clear"/>
          <w:lang w:val="en-US"/>
        </w:rPr>
      </w:pPr>
      <w:r>
        <w:rPr>
          <w:b/>
          <w:color w:val="000000"/>
          <w:sz w:val="22"/>
          <w:szCs w:val="22"/>
          <w:shd w:fill="FFFFFF" w:val="clear"/>
          <w:lang w:val="en-US"/>
        </w:rPr>
      </w:r>
    </w:p>
    <w:p>
      <w:pPr>
        <w:pStyle w:val="Normal"/>
        <w:jc w:val="center"/>
        <w:rPr>
          <w:b/>
          <w:b/>
          <w:color w:val="000000"/>
          <w:sz w:val="22"/>
          <w:szCs w:val="22"/>
          <w:shd w:fill="FFFFFF" w:val="clear"/>
          <w:lang w:val="en-US"/>
        </w:rPr>
      </w:pPr>
      <w:r>
        <w:rPr>
          <w:b/>
          <w:color w:val="000000"/>
          <w:sz w:val="22"/>
          <w:szCs w:val="22"/>
          <w:shd w:fill="FFFFFF" w:val="clear"/>
          <w:lang w:val="en-US"/>
        </w:rPr>
      </w:r>
    </w:p>
    <w:p>
      <w:pPr>
        <w:pStyle w:val="Normal"/>
        <w:jc w:val="center"/>
        <w:rPr>
          <w:color w:val="000000"/>
          <w:sz w:val="22"/>
          <w:szCs w:val="22"/>
          <w:shd w:fill="FFFFFF" w:val="clear"/>
        </w:rPr>
      </w:pPr>
      <w:r>
        <w:rPr>
          <w:b/>
          <w:color w:val="000000"/>
          <w:sz w:val="22"/>
          <w:szCs w:val="22"/>
          <w:shd w:fill="FFFFFF" w:val="clear"/>
        </w:rPr>
        <w:t>График оплаты</w:t>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tbl>
      <w:tblPr>
        <w:tblW w:w="9842" w:type="dxa"/>
        <w:jc w:val="left"/>
        <w:tblInd w:w="183" w:type="dxa"/>
        <w:tblLayout w:type="fixed"/>
        <w:tblCellMar>
          <w:top w:w="0" w:type="dxa"/>
          <w:left w:w="18" w:type="dxa"/>
          <w:bottom w:w="0" w:type="dxa"/>
          <w:right w:w="108" w:type="dxa"/>
        </w:tblCellMar>
        <w:tblLook w:firstRow="0" w:noVBand="0" w:lastRow="0" w:firstColumn="0" w:lastColumn="0" w:noHBand="0" w:val="0000"/>
      </w:tblPr>
      <w:tblGrid>
        <w:gridCol w:w="622"/>
        <w:gridCol w:w="3007"/>
        <w:gridCol w:w="2973"/>
        <w:gridCol w:w="3239"/>
      </w:tblGrid>
      <w:tr>
        <w:trPr/>
        <w:tc>
          <w:tcPr>
            <w:tcW w:w="622"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Дата оплаты</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Сумма, руб</w:t>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Примечание</w:t>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t>1</w:t>
            </w:r>
          </w:p>
        </w:tc>
        <w:tc>
          <w:tcPr>
            <w:tcW w:w="3007"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Не позднее</w:t>
            </w:r>
          </w:p>
          <w:p>
            <w:pPr>
              <w:pStyle w:val="Normal"/>
              <w:widowControl w:val="false"/>
              <w:jc w:val="center"/>
              <w:rPr>
                <w:color w:val="000000"/>
                <w:sz w:val="22"/>
                <w:szCs w:val="22"/>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t>2</w:t>
            </w:r>
          </w:p>
        </w:tc>
        <w:tc>
          <w:tcPr>
            <w:tcW w:w="3007"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Не позднее</w:t>
            </w:r>
          </w:p>
          <w:p>
            <w:pPr>
              <w:pStyle w:val="Normal"/>
              <w:widowControl w:val="false"/>
              <w:jc w:val="center"/>
              <w:rPr>
                <w:color w:val="000000"/>
                <w:sz w:val="22"/>
                <w:szCs w:val="22"/>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t>3</w:t>
            </w:r>
          </w:p>
        </w:tc>
        <w:tc>
          <w:tcPr>
            <w:tcW w:w="3007"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Не позднее</w:t>
            </w:r>
          </w:p>
          <w:p>
            <w:pPr>
              <w:pStyle w:val="Normal"/>
              <w:widowControl w:val="false"/>
              <w:jc w:val="center"/>
              <w:rPr>
                <w:color w:val="000000"/>
                <w:sz w:val="22"/>
                <w:szCs w:val="22"/>
                <w:shd w:fill="FFFFFF" w:val="clear"/>
              </w:rPr>
            </w:pPr>
            <w:r>
              <w:rPr>
                <w:color w:val="000000"/>
                <w:sz w:val="22"/>
                <w:szCs w:val="22"/>
                <w:shd w:fill="FFFFFF" w:val="clear"/>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t>4</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Не позднее</w:t>
            </w:r>
          </w:p>
          <w:p>
            <w:pPr>
              <w:pStyle w:val="Normal"/>
              <w:widowControl w:val="false"/>
              <w:jc w:val="center"/>
              <w:rPr>
                <w:color w:val="000000"/>
                <w:sz w:val="22"/>
                <w:szCs w:val="22"/>
                <w:shd w:fill="FFFFFF" w:val="clear"/>
              </w:rPr>
            </w:pPr>
            <w:r>
              <w:rPr>
                <w:color w:val="000000"/>
                <w:sz w:val="22"/>
                <w:szCs w:val="22"/>
                <w:shd w:fill="FFFFFF" w:val="clear"/>
              </w:rPr>
              <w:t>__.__.2026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t>Итого:</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bl>
    <w:p>
      <w:pPr>
        <w:pStyle w:val="Normal"/>
        <w:jc w:val="center"/>
        <w:rPr>
          <w:color w:val="000000"/>
          <w:sz w:val="22"/>
          <w:szCs w:val="22"/>
          <w:shd w:fill="FFFFFF" w:val="clear"/>
        </w:rPr>
      </w:pPr>
      <w:r>
        <w:rPr>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ind w:firstLine="708"/>
        <w:jc w:val="both"/>
        <w:rPr>
          <w:color w:val="000000"/>
          <w:sz w:val="22"/>
          <w:szCs w:val="22"/>
          <w:shd w:fill="FFFFFF" w:val="clear"/>
        </w:rPr>
      </w:pPr>
      <w:r>
        <w:rPr>
          <w:b/>
          <w:color w:val="000000"/>
          <w:sz w:val="22"/>
          <w:szCs w:val="22"/>
          <w:shd w:fill="FFFFFF" w:val="clear"/>
        </w:rPr>
        <w:t xml:space="preserve"> </w:t>
      </w:r>
      <w:r>
        <w:rPr>
          <w:b/>
          <w:color w:val="000000"/>
          <w:sz w:val="22"/>
          <w:szCs w:val="22"/>
          <w:shd w:fill="FFFFFF" w:val="clear"/>
        </w:rPr>
        <w:t>«Застройщик»</w:t>
        <w:tab/>
        <w:tab/>
        <w:t xml:space="preserve">           ______________________________/Е.И. Андреева/</w:t>
      </w:r>
    </w:p>
    <w:p>
      <w:pPr>
        <w:pStyle w:val="Normal"/>
        <w:ind w:firstLine="708"/>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tbl>
      <w:tblPr>
        <w:tblW w:w="957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283"/>
        <w:gridCol w:w="5287"/>
      </w:tblGrid>
      <w:tr>
        <w:trPr/>
        <w:tc>
          <w:tcPr>
            <w:tcW w:w="4283" w:type="dxa"/>
            <w:tcBorders/>
          </w:tcPr>
          <w:p>
            <w:pPr>
              <w:pStyle w:val="Normal"/>
              <w:widowControl w:val="false"/>
              <w:jc w:val="both"/>
              <w:rPr>
                <w:color w:val="000000"/>
                <w:sz w:val="22"/>
                <w:szCs w:val="22"/>
                <w:shd w:fill="FFFFFF" w:val="clear"/>
              </w:rPr>
            </w:pPr>
            <w:r>
              <w:rPr>
                <w:b/>
                <w:color w:val="000000"/>
                <w:sz w:val="22"/>
                <w:szCs w:val="22"/>
                <w:shd w:fill="FFFFFF" w:val="clear"/>
              </w:rPr>
              <w:t xml:space="preserve"> </w:t>
            </w:r>
            <w:r>
              <w:rPr>
                <w:b/>
                <w:color w:val="000000"/>
                <w:sz w:val="22"/>
                <w:szCs w:val="22"/>
                <w:shd w:fill="FFFFFF" w:val="clear"/>
              </w:rPr>
              <w:t>«Участник долевого строительства»</w:t>
            </w:r>
          </w:p>
        </w:tc>
        <w:tc>
          <w:tcPr>
            <w:tcW w:w="5287" w:type="dxa"/>
            <w:tcBorders/>
          </w:tcPr>
          <w:p>
            <w:pPr>
              <w:pStyle w:val="Normal"/>
              <w:widowControl w:val="false"/>
              <w:rPr>
                <w:color w:val="000000"/>
                <w:sz w:val="22"/>
                <w:szCs w:val="22"/>
                <w:shd w:fill="FFFFFF" w:val="clear"/>
              </w:rPr>
            </w:pPr>
            <w:r>
              <w:rPr>
                <w:b/>
                <w:color w:val="000000"/>
                <w:sz w:val="22"/>
                <w:szCs w:val="22"/>
                <w:shd w:fill="FFFFFF" w:val="clear"/>
              </w:rPr>
              <w:t>________________/_________________________/</w:t>
            </w:r>
          </w:p>
        </w:tc>
      </w:tr>
      <w:tr>
        <w:trPr/>
        <w:tc>
          <w:tcPr>
            <w:tcW w:w="4283" w:type="dxa"/>
            <w:tcBorders/>
          </w:tcPr>
          <w:p>
            <w:pPr>
              <w:pStyle w:val="Normal"/>
              <w:widowControl w:val="false"/>
              <w:jc w:val="both"/>
              <w:rPr>
                <w:b/>
                <w:b/>
                <w:color w:val="000000"/>
                <w:sz w:val="22"/>
                <w:szCs w:val="22"/>
                <w:shd w:fill="FFFFFF" w:val="clear"/>
              </w:rPr>
            </w:pPr>
            <w:r>
              <w:rPr>
                <w:b/>
                <w:color w:val="000000"/>
                <w:sz w:val="22"/>
                <w:szCs w:val="22"/>
                <w:shd w:fill="FFFFFF" w:val="clear"/>
              </w:rPr>
            </w:r>
          </w:p>
        </w:tc>
        <w:tc>
          <w:tcPr>
            <w:tcW w:w="5287" w:type="dxa"/>
            <w:tcBorders/>
          </w:tcPr>
          <w:p>
            <w:pPr>
              <w:pStyle w:val="Normal"/>
              <w:widowControl w:val="false"/>
              <w:rPr>
                <w:b/>
                <w:b/>
                <w:color w:val="000000"/>
                <w:sz w:val="22"/>
                <w:szCs w:val="22"/>
                <w:shd w:fill="FFFFFF" w:val="clear"/>
              </w:rPr>
            </w:pPr>
            <w:r>
              <w:rPr>
                <w:b/>
                <w:color w:val="000000"/>
                <w:sz w:val="22"/>
                <w:szCs w:val="22"/>
                <w:shd w:fill="FFFFFF" w:val="clear"/>
              </w:rPr>
            </w:r>
          </w:p>
        </w:tc>
      </w:tr>
    </w:tbl>
    <w:p>
      <w:pPr>
        <w:pStyle w:val="Normal"/>
        <w:tabs>
          <w:tab w:val="clear" w:pos="720"/>
          <w:tab w:val="left" w:pos="4320" w:leader="none"/>
        </w:tabs>
        <w:jc w:val="both"/>
        <w:rPr>
          <w:color w:val="000000"/>
          <w:sz w:val="22"/>
          <w:szCs w:val="22"/>
          <w:shd w:fill="FFFFFF" w:val="clear"/>
        </w:rPr>
      </w:pPr>
      <w:r>
        <w:rPr>
          <w:color w:val="000000"/>
          <w:sz w:val="22"/>
          <w:szCs w:val="22"/>
          <w:shd w:fill="FFFFFF" w:val="clear"/>
        </w:rPr>
      </w:r>
    </w:p>
    <w:p>
      <w:pPr>
        <w:pStyle w:val="Normal"/>
        <w:widowControl/>
        <w:suppressAutoHyphens w:val="true"/>
        <w:bidi w:val="0"/>
        <w:spacing w:before="0" w:after="0"/>
        <w:ind w:left="0" w:right="0" w:hanging="0"/>
        <w:jc w:val="left"/>
        <w:rPr>
          <w:color w:val="000000"/>
          <w:shd w:fill="FFFFFF" w:val="clear"/>
        </w:rPr>
      </w:pPr>
      <w:r>
        <w:rPr/>
      </w:r>
    </w:p>
    <w:sectPr>
      <w:headerReference w:type="default" r:id="rId9"/>
      <w:footerReference w:type="default" r:id="rId10"/>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7"/>
      <w:jc w:val="right"/>
      <w:rPr/>
    </w:pPr>
    <w:r>
      <w:rPr/>
      <w:fldChar w:fldCharType="begin"/>
    </w:r>
    <w:r>
      <w:rPr/>
      <w:instrText> PAGE </w:instrText>
    </w:r>
    <w:r>
      <w:rPr/>
      <w:fldChar w:fldCharType="separate"/>
    </w:r>
    <w:r>
      <w:rPr/>
      <w:t>9</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4">
    <w:name w:val="Heading 4"/>
    <w:basedOn w:val="18"/>
    <w:next w:val="Style18"/>
    <w:qFormat/>
    <w:p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1"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3" w:customStyle="1">
    <w:name w:val="Маркеры списка"/>
    <w:qFormat/>
    <w:rPr>
      <w:rFonts w:ascii="OpenSymbol;Arial Unicode MS" w:hAnsi="OpenSymbol;Arial Unicode MS" w:eastAsia="OpenSymbol;Arial Unicode MS" w:cs="OpenSymbol;Arial Unicode MS"/>
    </w:rPr>
  </w:style>
  <w:style w:type="character" w:styleId="Style14" w:customStyle="1">
    <w:name w:val="Символ нумерации"/>
    <w:qFormat/>
    <w:rPr/>
  </w:style>
  <w:style w:type="character" w:styleId="12" w:customStyle="1">
    <w:name w:val="Гиперссылка1"/>
    <w:qFormat/>
    <w:rPr>
      <w:color w:val="000080"/>
      <w:u w:val="single"/>
    </w:rPr>
  </w:style>
  <w:style w:type="character" w:styleId="Style15" w:customStyle="1">
    <w:name w:val="Текст выноски Знак"/>
    <w:qFormat/>
    <w:rPr>
      <w:rFonts w:ascii="Segoe UI" w:hAnsi="Segoe UI" w:cs="Segoe UI"/>
      <w:sz w:val="18"/>
      <w:szCs w:val="18"/>
    </w:rPr>
  </w:style>
  <w:style w:type="character" w:styleId="HTML" w:customStyle="1">
    <w:name w:val="Стандартный HTML Знак"/>
    <w:basedOn w:val="DefaultParagraphFont"/>
    <w:uiPriority w:val="99"/>
    <w:semiHidden/>
    <w:qFormat/>
    <w:rsid w:val="00346681"/>
    <w:rPr>
      <w:rFonts w:ascii="Courier New" w:hAnsi="Courier New" w:eastAsia="Times New Roman" w:cs="Courier New"/>
      <w:szCs w:val="20"/>
      <w:lang w:val="ru-RU" w:eastAsia="ru-RU" w:bidi="ar-SA"/>
    </w:rPr>
  </w:style>
  <w:style w:type="character" w:styleId="Style16" w:customStyle="1">
    <w:name w:val="Интернет-ссылка"/>
    <w:rPr>
      <w:color w:val="000080"/>
      <w:u w:val="single"/>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ascii="Arial" w:hAnsi="Arial"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Style22">
    <w:name w:val="Title"/>
    <w:basedOn w:val="Normal"/>
    <w:next w:val="Style18"/>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3" w:customStyle="1">
    <w:name w:val="Название1"/>
    <w:basedOn w:val="Normal"/>
    <w:qFormat/>
    <w:pPr>
      <w:suppressLineNumbers/>
      <w:spacing w:before="120" w:after="120"/>
    </w:pPr>
    <w:rPr>
      <w:rFonts w:ascii="Arial" w:hAnsi="Arial" w:cs="Mangal"/>
      <w:i/>
      <w:iCs/>
      <w:sz w:val="20"/>
    </w:rPr>
  </w:style>
  <w:style w:type="paragraph" w:styleId="14"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2"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3" w:customStyle="1">
    <w:name w:val="Указатель4"/>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5" w:customStyle="1">
    <w:name w:val="Название объекта1"/>
    <w:basedOn w:val="Normal"/>
    <w:qFormat/>
    <w:pPr>
      <w:suppressLineNumbers/>
      <w:spacing w:before="120" w:after="120"/>
    </w:pPr>
    <w:rPr>
      <w:rFonts w:ascii="Arial" w:hAnsi="Arial" w:cs="Tahoma"/>
      <w:i/>
      <w:iCs/>
      <w:sz w:val="20"/>
    </w:rPr>
  </w:style>
  <w:style w:type="paragraph" w:styleId="22"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eastAsia="SimSun;宋体"/>
    </w:rPr>
  </w:style>
  <w:style w:type="paragraph" w:styleId="Style23" w:customStyle="1">
    <w:name w:val="Содержимое таблицы"/>
    <w:basedOn w:val="Normal"/>
    <w:qFormat/>
    <w:pPr>
      <w:suppressLineNumbers/>
    </w:pPr>
    <w:rPr/>
  </w:style>
  <w:style w:type="paragraph" w:styleId="Style24" w:customStyle="1">
    <w:name w:val="Заголовок таблицы"/>
    <w:basedOn w:val="Style23"/>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5"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6"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7" w:customStyle="1">
    <w:name w:val="Нижний колонтитул1"/>
    <w:basedOn w:val="Style25"/>
    <w:qFormat/>
    <w:pPr>
      <w:tabs>
        <w:tab w:val="clear" w:pos="4986"/>
        <w:tab w:val="clear" w:pos="9972"/>
        <w:tab w:val="center" w:pos="4819" w:leader="none"/>
        <w:tab w:val="center" w:pos="5305" w:leader="none"/>
        <w:tab w:val="right" w:pos="9638" w:leader="none"/>
        <w:tab w:val="right" w:pos="10610" w:leader="none"/>
      </w:tabs>
    </w:pPr>
    <w:rPr/>
  </w:style>
  <w:style w:type="paragraph" w:styleId="Style26" w:customStyle="1">
    <w:name w:val="Колонтитул"/>
    <w:basedOn w:val="Normal"/>
    <w:qFormat/>
    <w:pPr/>
    <w:rPr/>
  </w:style>
  <w:style w:type="paragraph" w:styleId="Style27">
    <w:name w:val="Header"/>
    <w:basedOn w:val="Normal"/>
    <w:pPr/>
    <w:rPr/>
  </w:style>
  <w:style w:type="paragraph" w:styleId="Style28">
    <w:name w:val="Footer"/>
    <w:basedOn w:val="Normal"/>
    <w:pPr/>
    <w:rPr/>
  </w:style>
  <w:style w:type="paragraph" w:styleId="Style29" w:customStyle="1">
    <w:name w:val="Обычный (веб)"/>
    <w:basedOn w:val="Normal"/>
    <w:qFormat/>
    <w:pPr>
      <w:spacing w:before="280" w:after="119"/>
    </w:pPr>
    <w:rPr/>
  </w:style>
  <w:style w:type="paragraph" w:styleId="HTMLPreformatted">
    <w:name w:val="HTML Preformatted"/>
    <w:basedOn w:val="Normal"/>
    <w:uiPriority w:val="99"/>
    <w:semiHidden/>
    <w:unhideWhenUsed/>
    <w:qFormat/>
    <w:rsid w:val="00346681"/>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auto"/>
      <w:sz w:val="20"/>
      <w:szCs w:val="20"/>
      <w:lang w:eastAsia="ru-RU"/>
    </w:rPr>
  </w:style>
  <w:style w:type="paragraph" w:styleId="Textbodyindent" w:customStyle="1">
    <w:name w:val="Text body indent"/>
    <w:basedOn w:val="Normal"/>
    <w:qFormat/>
    <w:pPr>
      <w:spacing w:before="0" w:after="120"/>
      <w:ind w:left="283" w:hanging="0"/>
      <w:textAlignment w:val="baseline"/>
    </w:pPr>
    <w:rPr>
      <w:kern w:val="2"/>
      <w:lang w:eastAsia="ru-RU"/>
    </w:rPr>
  </w:style>
  <w:style w:type="paragraph" w:styleId="Style30">
    <w:name w:val="Body Text Indent"/>
    <w:basedOn w:val="Normal"/>
    <w:pPr>
      <w:spacing w:before="0" w:after="120"/>
      <w:ind w:left="283" w:hanging="0"/>
    </w:pPr>
    <w:rPr/>
  </w:style>
  <w:style w:type="paragraph" w:styleId="18" w:customStyle="1">
    <w:name w:val="Заголовок1"/>
    <w:basedOn w:val="Normal"/>
    <w:next w:val="Style18"/>
    <w:qFormat/>
    <w:pPr>
      <w:keepNext w:val="true"/>
      <w:spacing w:before="240" w:after="120"/>
    </w:pPr>
    <w:rPr>
      <w:rFonts w:ascii="Arial" w:hAnsi="Arial" w:eastAsia="Lucida Sans Unicode" w:cs="Mangal"/>
      <w:sz w:val="28"/>
      <w:szCs w:val="28"/>
    </w:rPr>
  </w:style>
  <w:style w:type="paragraph" w:styleId="Standard" w:customStyle="1">
    <w:name w:val="Standard"/>
    <w:qFormat/>
    <w:rsid w:val="00f56c00"/>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9" w:customStyle="1">
    <w:name w:val="Обычный (веб)1"/>
    <w:basedOn w:val="Normal"/>
    <w:qFormat/>
    <w:pPr>
      <w:spacing w:lineRule="atLeast" w:line="100" w:before="280" w:after="119"/>
    </w:pPr>
    <w:rPr>
      <w:rFonts w:ascii="Liberation Serif" w:hAnsi="Liberation Serif" w:eastAsia="SimSun" w:cs="Mangal"/>
      <w:color w:val="auto"/>
      <w:kern w:val="2"/>
      <w:lang w:eastAsia="hi-IN" w:bidi="hi-IN"/>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Application>LibreOffice/7.1.1.2$Windows_X86_64 LibreOffice_project/fe0b08f4af1bacafe4c7ecc87ce55bb426164676</Application>
  <AppVersion>15.0000</AppVersion>
  <Pages>9</Pages>
  <Words>4217</Words>
  <Characters>31602</Characters>
  <CharactersWithSpaces>35827</CharactersWithSpaces>
  <Paragraphs>209</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2025-04-15T06:03:00Z</dcterms:created>
  <dc:creator>Нина Г. Высочкина</dc:creator>
  <dc:description/>
  <dc:language>en-US</dc:language>
  <cp:lastModifiedBy/>
  <cp:lastPrinted>2025-03-27T13:17:00Z</cp:lastPrinted>
  <dcterms:modified xsi:type="dcterms:W3CDTF">2026-03-20T13:06:22Z</dcterms:modified>
  <cp:revision>38</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